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3668D205"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340E8B">
        <w:rPr>
          <w:rFonts w:ascii="Times New Roman" w:hAnsi="Times New Roman" w:cs="Times New Roman"/>
          <w:b/>
          <w:i/>
        </w:rPr>
        <w:t>1</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6B9D1568" w14:textId="77777777" w:rsidR="001A196C" w:rsidRDefault="001A196C" w:rsidP="00D40472">
      <w:pPr>
        <w:spacing w:after="0" w:line="276" w:lineRule="auto"/>
        <w:ind w:right="-283"/>
        <w:rPr>
          <w:rFonts w:ascii="Times New Roman" w:hAnsi="Times New Roman" w:cs="Times New Roman"/>
          <w:b/>
          <w:bCs/>
          <w:sz w:val="32"/>
          <w:szCs w:val="32"/>
        </w:rPr>
      </w:pPr>
    </w:p>
    <w:p w14:paraId="34E784FC" w14:textId="1A3F49E7" w:rsidR="00F404D4" w:rsidRDefault="00340E8B"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Wyposażenie przedszkola w Gminie Brzozie</w:t>
      </w:r>
      <w:r w:rsidR="00A50993"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1A44F40A"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541AAF">
        <w:rPr>
          <w:rFonts w:ascii="Times New Roman" w:hAnsi="Times New Roman" w:cs="Times New Roman"/>
          <w:b/>
          <w:sz w:val="20"/>
          <w:szCs w:val="20"/>
        </w:rPr>
        <w:t>0</w:t>
      </w:r>
      <w:r w:rsidR="002E749A">
        <w:rPr>
          <w:rFonts w:ascii="Times New Roman" w:hAnsi="Times New Roman" w:cs="Times New Roman"/>
          <w:b/>
          <w:sz w:val="20"/>
          <w:szCs w:val="20"/>
        </w:rPr>
        <w:t>9</w:t>
      </w:r>
      <w:r w:rsidR="00541AAF">
        <w:rPr>
          <w:rFonts w:ascii="Times New Roman" w:hAnsi="Times New Roman" w:cs="Times New Roman"/>
          <w:b/>
          <w:sz w:val="20"/>
          <w:szCs w:val="20"/>
        </w:rPr>
        <w:t>.08.</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4F335D69" w:rsidR="00D40472" w:rsidRDefault="00D40472" w:rsidP="00D40472">
      <w:pPr>
        <w:jc w:val="center"/>
        <w:rPr>
          <w:rFonts w:ascii="Times New Roman" w:hAnsi="Times New Roman" w:cs="Times New Roman"/>
          <w:b/>
          <w:sz w:val="20"/>
          <w:szCs w:val="20"/>
        </w:rPr>
      </w:pPr>
    </w:p>
    <w:p w14:paraId="00936F66" w14:textId="77777777" w:rsidR="0059328C" w:rsidRDefault="0059328C"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6E88EAA3" w:rsidR="0013760E" w:rsidRPr="00D4386E" w:rsidRDefault="00D4386E" w:rsidP="00D4386E">
      <w:pPr>
        <w:spacing w:line="360" w:lineRule="auto"/>
        <w:rPr>
          <w:rFonts w:ascii="Times New Roman" w:hAnsi="Times New Roman" w:cs="Times New Roman"/>
          <w:b/>
          <w:sz w:val="24"/>
          <w:szCs w:val="24"/>
        </w:rPr>
      </w:pPr>
      <w:r w:rsidRPr="00D4386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D4386E">
        <w:rPr>
          <w:rFonts w:ascii="Times New Roman" w:hAnsi="Times New Roman" w:cs="Times New Roman"/>
          <w:b/>
          <w:sz w:val="24"/>
          <w:szCs w:val="24"/>
        </w:rPr>
        <w:t>Opis przedmiotu zamówienia</w:t>
      </w:r>
      <w:r w:rsidR="00186BD0" w:rsidRPr="00D4386E">
        <w:rPr>
          <w:rFonts w:ascii="Times New Roman" w:hAnsi="Times New Roman" w:cs="Times New Roman"/>
          <w:b/>
          <w:sz w:val="24"/>
          <w:szCs w:val="24"/>
        </w:rPr>
        <w:t>:</w:t>
      </w:r>
    </w:p>
    <w:p w14:paraId="777EE8A1" w14:textId="6E137191" w:rsidR="004F169A" w:rsidRPr="004F169A" w:rsidRDefault="00D4386E" w:rsidP="009570CD">
      <w:pPr>
        <w:spacing w:line="360" w:lineRule="auto"/>
        <w:rPr>
          <w:rFonts w:ascii="Times New Roman" w:hAnsi="Times New Roman" w:cs="Times New Roman"/>
        </w:rPr>
      </w:pPr>
      <w:r w:rsidRPr="004F169A">
        <w:rPr>
          <w:rFonts w:ascii="Times New Roman" w:hAnsi="Times New Roman" w:cs="Times New Roman"/>
        </w:rPr>
        <w:t xml:space="preserve">Przedmiotem zamówienia jest dostawa, wyładunek i montaż wyposażenia przedszkola składającego się z mebli, sprzętu multimedialnego, materiałów dydaktycznych i zabawek. </w:t>
      </w:r>
      <w:r w:rsidR="004F169A" w:rsidRPr="004F169A">
        <w:rPr>
          <w:rFonts w:ascii="Times New Roman" w:hAnsi="Times New Roman" w:cs="Times New Roman"/>
        </w:rPr>
        <w:t>Miejsce dostawy zostanie uzgodnione krótko przed realizacją zamówienia z Zamawiającym. Przedmiot zamówienia podzielony została na 4 części:</w:t>
      </w:r>
    </w:p>
    <w:p w14:paraId="7AF8C986" w14:textId="7A22F32F"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Część nr 1: Dostawa i montaż mebli do przedszkola w  Jajkowie</w:t>
      </w:r>
    </w:p>
    <w:p w14:paraId="59024D46" w14:textId="362F2CE8"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 xml:space="preserve">Szczegółowy opis części zamówienia zawarty została w załączniku do SWZ nr </w:t>
      </w:r>
      <w:r w:rsidR="00541AAF">
        <w:rPr>
          <w:rFonts w:ascii="Times New Roman" w:hAnsi="Times New Roman" w:cs="Times New Roman"/>
        </w:rPr>
        <w:t>6</w:t>
      </w:r>
    </w:p>
    <w:p w14:paraId="6EA5447C" w14:textId="78BB854C"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Część nr 2: Dostawa materiałów dydaktycznych i zabawek do przedszkola w Jajkowie</w:t>
      </w:r>
    </w:p>
    <w:p w14:paraId="48CC919F" w14:textId="744B9D50"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 xml:space="preserve">Szczegółowy opis części zamówienia zawarty została w załączniku do SWZ nr </w:t>
      </w:r>
      <w:r w:rsidR="00541AAF">
        <w:rPr>
          <w:rFonts w:ascii="Times New Roman" w:hAnsi="Times New Roman" w:cs="Times New Roman"/>
        </w:rPr>
        <w:t>7</w:t>
      </w:r>
    </w:p>
    <w:p w14:paraId="073DB74C" w14:textId="1FC91C7D"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Część nr 3: Dostawa sprzętu multimedialnego do przedszkola w Jajkowie</w:t>
      </w:r>
    </w:p>
    <w:p w14:paraId="7558076A" w14:textId="3DE7D6A2"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 xml:space="preserve">Szczegółowy opis części zamówienia zawarty została w załączniku do SWZ nr </w:t>
      </w:r>
      <w:r w:rsidR="00541AAF">
        <w:rPr>
          <w:rFonts w:ascii="Times New Roman" w:hAnsi="Times New Roman" w:cs="Times New Roman"/>
        </w:rPr>
        <w:t>8</w:t>
      </w:r>
    </w:p>
    <w:p w14:paraId="4B589A1A" w14:textId="2FB898FC"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Część nr 4: Dostawa materiałów dydaktycznych do Szkoły i przedszkola w Wielki Leźnie</w:t>
      </w:r>
    </w:p>
    <w:p w14:paraId="5A9DC14F" w14:textId="4E7B4617" w:rsidR="004F169A" w:rsidRPr="004F169A" w:rsidRDefault="004F169A" w:rsidP="009570CD">
      <w:pPr>
        <w:spacing w:line="360" w:lineRule="auto"/>
        <w:rPr>
          <w:rFonts w:ascii="Times New Roman" w:hAnsi="Times New Roman" w:cs="Times New Roman"/>
        </w:rPr>
      </w:pPr>
      <w:r w:rsidRPr="004F169A">
        <w:rPr>
          <w:rFonts w:ascii="Times New Roman" w:hAnsi="Times New Roman" w:cs="Times New Roman"/>
        </w:rPr>
        <w:t xml:space="preserve">Szczegółowy opis części zamówienia zawarty została w załączniku do SWZ nr </w:t>
      </w:r>
      <w:r w:rsidR="00541AAF">
        <w:rPr>
          <w:rFonts w:ascii="Times New Roman" w:hAnsi="Times New Roman" w:cs="Times New Roman"/>
        </w:rPr>
        <w:t>9</w:t>
      </w:r>
    </w:p>
    <w:p w14:paraId="75F3D0A4" w14:textId="1874B26A" w:rsidR="00DA30D3" w:rsidRDefault="00DA30D3" w:rsidP="009570CD">
      <w:pPr>
        <w:spacing w:line="360" w:lineRule="auto"/>
      </w:pPr>
      <w:r w:rsidRPr="009D548F">
        <w:rPr>
          <w:rFonts w:ascii="Times New Roman" w:hAnsi="Times New Roman" w:cs="Times New Roman"/>
        </w:rPr>
        <w:t>Wykonawca udzieli</w:t>
      </w:r>
      <w:r w:rsidR="00D04CB8">
        <w:rPr>
          <w:rFonts w:ascii="Times New Roman" w:hAnsi="Times New Roman" w:cs="Times New Roman"/>
        </w:rPr>
        <w:t xml:space="preserve"> Zamawiającemu gwarancji na przedmiot zamówienia na okres zgodny z gwarancją udzieloną przez producentów.</w:t>
      </w:r>
    </w:p>
    <w:p w14:paraId="57D1BADC" w14:textId="01E0C678" w:rsidR="004F169A" w:rsidRDefault="00DA30D3" w:rsidP="009570CD">
      <w:pPr>
        <w:spacing w:line="360" w:lineRule="auto"/>
        <w:rPr>
          <w:rFonts w:ascii="Times New Roman" w:hAnsi="Times New Roman" w:cs="Times New Roman"/>
        </w:rPr>
      </w:pPr>
      <w:r w:rsidRPr="009D548F">
        <w:rPr>
          <w:rFonts w:ascii="Times New Roman" w:hAnsi="Times New Roman" w:cs="Times New Roman"/>
        </w:rPr>
        <w:t xml:space="preserve"> Wszystkie przedmioty zamówienia będą posiadały </w:t>
      </w:r>
      <w:r w:rsidR="009D548F" w:rsidRPr="009D548F">
        <w:rPr>
          <w:rFonts w:ascii="Times New Roman" w:hAnsi="Times New Roman" w:cs="Times New Roman"/>
        </w:rPr>
        <w:t>aktualne i obowiązujące</w:t>
      </w:r>
      <w:r w:rsidRPr="009D548F">
        <w:rPr>
          <w:rFonts w:ascii="Times New Roman" w:hAnsi="Times New Roman" w:cs="Times New Roman"/>
        </w:rPr>
        <w:t xml:space="preserve"> atesty</w:t>
      </w:r>
      <w:r w:rsidR="009D548F" w:rsidRPr="009D548F">
        <w:rPr>
          <w:rFonts w:ascii="Times New Roman" w:hAnsi="Times New Roman" w:cs="Times New Roman"/>
        </w:rPr>
        <w:t xml:space="preserve"> i certyfikaty bezpieczeństwa poświadczające zgodność z normami obowiązującymi w Unii Europejskiej.</w:t>
      </w:r>
    </w:p>
    <w:p w14:paraId="272A8BD6" w14:textId="72A1F53A" w:rsidR="009570CD" w:rsidRPr="009570CD" w:rsidRDefault="009570CD" w:rsidP="009570CD">
      <w:pPr>
        <w:spacing w:line="360" w:lineRule="auto"/>
        <w:rPr>
          <w:rFonts w:ascii="Times New Roman" w:hAnsi="Times New Roman" w:cs="Times New Roman"/>
          <w:b/>
          <w:bCs/>
        </w:rPr>
      </w:pPr>
      <w:r w:rsidRPr="009570CD">
        <w:rPr>
          <w:rFonts w:ascii="Times New Roman" w:hAnsi="Times New Roman" w:cs="Times New Roman"/>
          <w:b/>
          <w:bCs/>
        </w:rPr>
        <w:t>2. Rozwiązania równoważne</w:t>
      </w:r>
    </w:p>
    <w:p w14:paraId="38D029EE" w14:textId="327D80BC" w:rsidR="009570CD" w:rsidRPr="009570CD" w:rsidRDefault="009570CD" w:rsidP="009570CD">
      <w:pPr>
        <w:spacing w:line="360" w:lineRule="auto"/>
        <w:jc w:val="both"/>
        <w:rPr>
          <w:rFonts w:ascii="Times New Roman" w:hAnsi="Times New Roman" w:cs="Times New Roman"/>
        </w:rPr>
      </w:pPr>
      <w:r w:rsidRPr="009570CD">
        <w:rPr>
          <w:rFonts w:ascii="Times New Roman" w:hAnsi="Times New Roman" w:cs="Times New Roman"/>
        </w:rPr>
        <w:t xml:space="preserve">Jeżeli Zamawiający określając produkt będący przedmiotem niniejszego postępowania posłużył się wskazaniem konkretnego rozwiązania, w tym zakresie dopuszcza składanie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rsidRPr="009570CD">
        <w:rPr>
          <w:rFonts w:ascii="Times New Roman" w:hAnsi="Times New Roman" w:cs="Times New Roman"/>
        </w:rPr>
        <w:t>techniczno</w:t>
      </w:r>
      <w:proofErr w:type="spellEnd"/>
      <w:r w:rsidRPr="009570CD">
        <w:rPr>
          <w:rFonts w:ascii="Times New Roman" w:hAnsi="Times New Roman" w:cs="Times New Roman"/>
        </w:rP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 spełniają wymagania określone przez Zamawiającego.</w:t>
      </w:r>
    </w:p>
    <w:p w14:paraId="291758C4" w14:textId="3AF488E6" w:rsidR="006F2F93" w:rsidRP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3</w:t>
      </w:r>
      <w:r w:rsidR="006F2F93" w:rsidRPr="006F2F93">
        <w:rPr>
          <w:rFonts w:ascii="Times New Roman" w:hAnsi="Times New Roman" w:cs="Times New Roman"/>
          <w:b/>
          <w:bCs/>
        </w:rPr>
        <w:t>.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12B070A5" w14:textId="77777777" w:rsidR="00827DBE" w:rsidRDefault="00827DBE" w:rsidP="0073771C">
      <w:pPr>
        <w:shd w:val="clear" w:color="auto" w:fill="FFFFFF"/>
        <w:spacing w:line="360" w:lineRule="auto"/>
        <w:jc w:val="both"/>
        <w:rPr>
          <w:rFonts w:ascii="Times New Roman" w:hAnsi="Times New Roman" w:cs="Times New Roman"/>
          <w:b/>
          <w:bCs/>
        </w:rPr>
      </w:pPr>
    </w:p>
    <w:p w14:paraId="3D4C6EFD" w14:textId="28EC777B"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4</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344F0B75"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1A73B7EB" w:rsid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56972CDD"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3973BCC9" w:rsidR="00292B29" w:rsidRDefault="004F169A"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292B29" w:rsidRPr="00292B29">
        <w:rPr>
          <w:rFonts w:ascii="Times New Roman" w:hAnsi="Times New Roman" w:cs="Times New Roman"/>
          <w:b/>
          <w:bCs/>
        </w:rPr>
        <w:t>. Wspólny słownik zamówień CPV:</w:t>
      </w:r>
    </w:p>
    <w:p w14:paraId="2A059776" w14:textId="0BFBEA9E" w:rsidR="00ED34EF" w:rsidRPr="00ED34EF" w:rsidRDefault="00ED34EF" w:rsidP="00ED34EF">
      <w:pPr>
        <w:shd w:val="clear" w:color="auto" w:fill="FFFFFF"/>
        <w:spacing w:line="360" w:lineRule="auto"/>
        <w:jc w:val="both"/>
        <w:rPr>
          <w:rFonts w:ascii="Times New Roman" w:hAnsi="Times New Roman" w:cs="Times New Roman"/>
        </w:rPr>
      </w:pPr>
      <w:r w:rsidRPr="00ED34EF">
        <w:rPr>
          <w:rFonts w:ascii="Times New Roman" w:hAnsi="Times New Roman" w:cs="Times New Roman"/>
        </w:rPr>
        <w:t>39100000-3 Meble</w:t>
      </w:r>
    </w:p>
    <w:p w14:paraId="33904F7A" w14:textId="515BA976" w:rsidR="00ED34EF" w:rsidRPr="00ED34EF" w:rsidRDefault="00ED34EF" w:rsidP="00ED34EF">
      <w:pPr>
        <w:shd w:val="clear" w:color="auto" w:fill="FFFFFF"/>
        <w:spacing w:line="360" w:lineRule="auto"/>
        <w:jc w:val="both"/>
        <w:rPr>
          <w:rFonts w:ascii="Times New Roman" w:hAnsi="Times New Roman" w:cs="Times New Roman"/>
        </w:rPr>
      </w:pPr>
      <w:r w:rsidRPr="00ED34EF">
        <w:rPr>
          <w:rFonts w:ascii="Times New Roman" w:hAnsi="Times New Roman" w:cs="Times New Roman"/>
        </w:rPr>
        <w:t>39161000-8 Meble przedszkolne</w:t>
      </w:r>
    </w:p>
    <w:p w14:paraId="3F162B38" w14:textId="3FC5263D" w:rsidR="00ED34EF" w:rsidRPr="00ED34EF" w:rsidRDefault="00ED34EF" w:rsidP="00ED34EF">
      <w:pPr>
        <w:shd w:val="clear" w:color="auto" w:fill="FFFFFF"/>
        <w:spacing w:line="360" w:lineRule="auto"/>
        <w:jc w:val="both"/>
        <w:rPr>
          <w:rFonts w:ascii="Times New Roman" w:hAnsi="Times New Roman" w:cs="Times New Roman"/>
        </w:rPr>
      </w:pPr>
      <w:r w:rsidRPr="00ED34EF">
        <w:rPr>
          <w:rFonts w:ascii="Times New Roman" w:hAnsi="Times New Roman" w:cs="Times New Roman"/>
        </w:rPr>
        <w:t xml:space="preserve">39110000-6 Siedziska, krzesła i produkty z nimi związane, i ich części </w:t>
      </w:r>
      <w:r w:rsidRPr="00ED34EF">
        <w:rPr>
          <w:rFonts w:ascii="Times New Roman" w:hAnsi="Times New Roman" w:cs="Times New Roman"/>
        </w:rPr>
        <w:br/>
        <w:t>39111000-3 Siedziska</w:t>
      </w:r>
    </w:p>
    <w:p w14:paraId="5084D504" w14:textId="5D46249F" w:rsidR="00ED34EF" w:rsidRPr="00DA30D3" w:rsidRDefault="00ED34EF" w:rsidP="00ED34EF">
      <w:pPr>
        <w:shd w:val="clear" w:color="auto" w:fill="FFFFFF"/>
        <w:spacing w:line="360" w:lineRule="auto"/>
        <w:jc w:val="both"/>
        <w:rPr>
          <w:rFonts w:ascii="Times New Roman" w:hAnsi="Times New Roman" w:cs="Times New Roman"/>
        </w:rPr>
      </w:pPr>
      <w:r w:rsidRPr="00DA30D3">
        <w:rPr>
          <w:rFonts w:ascii="Times New Roman" w:hAnsi="Times New Roman" w:cs="Times New Roman"/>
        </w:rPr>
        <w:t>3</w:t>
      </w:r>
      <w:r w:rsidR="002E749A">
        <w:rPr>
          <w:rFonts w:ascii="Times New Roman" w:hAnsi="Times New Roman" w:cs="Times New Roman"/>
        </w:rPr>
        <w:t>9</w:t>
      </w:r>
      <w:r w:rsidRPr="00DA30D3">
        <w:rPr>
          <w:rFonts w:ascii="Times New Roman" w:hAnsi="Times New Roman" w:cs="Times New Roman"/>
        </w:rPr>
        <w:t>112000-0 Krzesła</w:t>
      </w:r>
    </w:p>
    <w:p w14:paraId="12ECDF4F" w14:textId="270EF3E6" w:rsidR="00ED34EF" w:rsidRPr="00DA30D3" w:rsidRDefault="00ED34EF" w:rsidP="00ED34EF">
      <w:pPr>
        <w:shd w:val="clear" w:color="auto" w:fill="FFFFFF"/>
        <w:spacing w:line="360" w:lineRule="auto"/>
        <w:jc w:val="both"/>
        <w:rPr>
          <w:rFonts w:ascii="Times New Roman" w:hAnsi="Times New Roman" w:cs="Times New Roman"/>
        </w:rPr>
      </w:pPr>
      <w:r w:rsidRPr="00DA30D3">
        <w:rPr>
          <w:rFonts w:ascii="Times New Roman" w:hAnsi="Times New Roman" w:cs="Times New Roman"/>
        </w:rPr>
        <w:t>39141100-3 Regały</w:t>
      </w:r>
    </w:p>
    <w:p w14:paraId="243F9FE9" w14:textId="18F90796" w:rsidR="00ED34EF" w:rsidRPr="00DA30D3" w:rsidRDefault="00ED34EF" w:rsidP="00ED34EF">
      <w:pPr>
        <w:shd w:val="clear" w:color="auto" w:fill="FFFFFF"/>
        <w:spacing w:line="360" w:lineRule="auto"/>
        <w:jc w:val="both"/>
        <w:rPr>
          <w:rFonts w:ascii="Times New Roman" w:hAnsi="Times New Roman" w:cs="Times New Roman"/>
        </w:rPr>
      </w:pPr>
      <w:r w:rsidRPr="00DA30D3">
        <w:rPr>
          <w:rFonts w:ascii="Times New Roman" w:hAnsi="Times New Roman" w:cs="Times New Roman"/>
        </w:rPr>
        <w:t>39141300-5 Szafy</w:t>
      </w:r>
    </w:p>
    <w:p w14:paraId="281E35E0" w14:textId="47772EAA" w:rsidR="00ED34EF" w:rsidRPr="00401387" w:rsidRDefault="00ED34EF" w:rsidP="00E84F75">
      <w:pPr>
        <w:shd w:val="clear" w:color="auto" w:fill="FFFFFF"/>
        <w:spacing w:line="360" w:lineRule="auto"/>
        <w:jc w:val="both"/>
        <w:rPr>
          <w:rFonts w:ascii="Times New Roman" w:hAnsi="Times New Roman" w:cs="Times New Roman"/>
        </w:rPr>
      </w:pPr>
      <w:r w:rsidRPr="00DA30D3">
        <w:rPr>
          <w:rFonts w:ascii="Times New Roman" w:hAnsi="Times New Roman" w:cs="Times New Roman"/>
        </w:rPr>
        <w:t>39143116-2 Łóżeczka</w:t>
      </w:r>
    </w:p>
    <w:p w14:paraId="1D52CCB1" w14:textId="7E40B9EF" w:rsidR="008708B2" w:rsidRDefault="008708B2" w:rsidP="00E84F75">
      <w:pPr>
        <w:shd w:val="clear" w:color="auto" w:fill="FFFFFF"/>
        <w:spacing w:line="360" w:lineRule="auto"/>
        <w:jc w:val="both"/>
        <w:rPr>
          <w:rFonts w:ascii="Times New Roman" w:hAnsi="Times New Roman" w:cs="Times New Roman"/>
        </w:rPr>
      </w:pPr>
      <w:r w:rsidRPr="00ED34EF">
        <w:rPr>
          <w:rFonts w:ascii="Times New Roman" w:hAnsi="Times New Roman" w:cs="Times New Roman"/>
        </w:rPr>
        <w:t>32322000-6 Urządzenia multimedialne</w:t>
      </w:r>
    </w:p>
    <w:p w14:paraId="1429F625" w14:textId="397C8CE1" w:rsidR="00202433" w:rsidRDefault="00202433" w:rsidP="00E84F75">
      <w:pPr>
        <w:shd w:val="clear" w:color="auto" w:fill="FFFFFF"/>
        <w:spacing w:line="360" w:lineRule="auto"/>
        <w:jc w:val="both"/>
        <w:rPr>
          <w:rFonts w:ascii="Times New Roman" w:hAnsi="Times New Roman" w:cs="Times New Roman"/>
        </w:rPr>
      </w:pPr>
      <w:r>
        <w:rPr>
          <w:rFonts w:ascii="Times New Roman" w:hAnsi="Times New Roman" w:cs="Times New Roman"/>
        </w:rPr>
        <w:t>30200000-1 urządzenia komputerowe</w:t>
      </w:r>
    </w:p>
    <w:p w14:paraId="7A355D9D" w14:textId="61A7B0C8" w:rsidR="00202433" w:rsidRDefault="00202433" w:rsidP="00E84F75">
      <w:pPr>
        <w:shd w:val="clear" w:color="auto" w:fill="FFFFFF"/>
        <w:spacing w:line="360" w:lineRule="auto"/>
        <w:jc w:val="both"/>
        <w:rPr>
          <w:rFonts w:ascii="Times New Roman" w:hAnsi="Times New Roman" w:cs="Times New Roman"/>
        </w:rPr>
      </w:pPr>
      <w:r>
        <w:rPr>
          <w:rFonts w:ascii="Times New Roman" w:hAnsi="Times New Roman" w:cs="Times New Roman"/>
        </w:rPr>
        <w:t>30213100-6 komputery przenośne</w:t>
      </w:r>
    </w:p>
    <w:p w14:paraId="7935D5AC" w14:textId="50AFF6F4" w:rsidR="00202433" w:rsidRPr="00ED34EF" w:rsidRDefault="00202433" w:rsidP="00E84F75">
      <w:pPr>
        <w:shd w:val="clear" w:color="auto" w:fill="FFFFFF"/>
        <w:spacing w:line="360" w:lineRule="auto"/>
        <w:jc w:val="both"/>
        <w:rPr>
          <w:rFonts w:ascii="Times New Roman" w:hAnsi="Times New Roman" w:cs="Times New Roman"/>
        </w:rPr>
      </w:pPr>
      <w:r>
        <w:rPr>
          <w:rFonts w:ascii="Times New Roman" w:hAnsi="Times New Roman" w:cs="Times New Roman"/>
        </w:rPr>
        <w:t>32000000-3 Sprzęt radiowy, telewizyjny, komunikacyjny</w:t>
      </w:r>
      <w:r w:rsidR="00D04CB8">
        <w:rPr>
          <w:rFonts w:ascii="Times New Roman" w:hAnsi="Times New Roman" w:cs="Times New Roman"/>
        </w:rPr>
        <w:t>, telekomunikacyjny i podobny</w:t>
      </w:r>
    </w:p>
    <w:p w14:paraId="211EF58A" w14:textId="7EABE23D" w:rsidR="008708B2" w:rsidRPr="00ED34EF" w:rsidRDefault="008708B2" w:rsidP="00E84F75">
      <w:pPr>
        <w:shd w:val="clear" w:color="auto" w:fill="FFFFFF"/>
        <w:spacing w:line="360" w:lineRule="auto"/>
        <w:jc w:val="both"/>
        <w:rPr>
          <w:rFonts w:ascii="Times New Roman" w:hAnsi="Times New Roman" w:cs="Times New Roman"/>
        </w:rPr>
      </w:pPr>
      <w:r w:rsidRPr="00ED34EF">
        <w:rPr>
          <w:rFonts w:ascii="Times New Roman" w:hAnsi="Times New Roman" w:cs="Times New Roman"/>
        </w:rPr>
        <w:t>37000000-8 Instrumenty muzyczne, artykuły sportowe, gry, zabawki, wyroby rzemieślnicze, materiały i akcesoria artystyczne</w:t>
      </w:r>
    </w:p>
    <w:p w14:paraId="15FD3AE6" w14:textId="65270B1A" w:rsidR="008708B2" w:rsidRPr="00ED34EF" w:rsidRDefault="008708B2" w:rsidP="00E84F75">
      <w:pPr>
        <w:shd w:val="clear" w:color="auto" w:fill="FFFFFF"/>
        <w:spacing w:line="360" w:lineRule="auto"/>
        <w:jc w:val="both"/>
        <w:rPr>
          <w:rFonts w:ascii="Times New Roman" w:hAnsi="Times New Roman" w:cs="Times New Roman"/>
        </w:rPr>
      </w:pPr>
      <w:r w:rsidRPr="00ED34EF">
        <w:rPr>
          <w:rFonts w:ascii="Times New Roman" w:hAnsi="Times New Roman" w:cs="Times New Roman"/>
        </w:rPr>
        <w:t>37520000-9 Zabawki</w:t>
      </w:r>
    </w:p>
    <w:p w14:paraId="7BE7D3E9" w14:textId="287C4B2B" w:rsidR="008708B2" w:rsidRPr="00ED34EF" w:rsidRDefault="008708B2" w:rsidP="00ED34EF">
      <w:pPr>
        <w:shd w:val="clear" w:color="auto" w:fill="FFFFFF"/>
        <w:spacing w:line="360" w:lineRule="auto"/>
        <w:jc w:val="both"/>
        <w:rPr>
          <w:rFonts w:ascii="Times New Roman" w:hAnsi="Times New Roman" w:cs="Times New Roman"/>
        </w:rPr>
      </w:pPr>
      <w:r w:rsidRPr="00ED34EF">
        <w:rPr>
          <w:rFonts w:ascii="Times New Roman" w:hAnsi="Times New Roman" w:cs="Times New Roman"/>
        </w:rPr>
        <w:t>37524100-8 Gry edukacyjne</w:t>
      </w:r>
    </w:p>
    <w:p w14:paraId="3A12BB8E" w14:textId="64C6EE51" w:rsidR="00541AAF" w:rsidRPr="009570CD" w:rsidRDefault="008708B2" w:rsidP="00E84F75">
      <w:pPr>
        <w:shd w:val="clear" w:color="auto" w:fill="FFFFFF"/>
        <w:spacing w:line="360" w:lineRule="auto"/>
        <w:jc w:val="both"/>
        <w:rPr>
          <w:rFonts w:ascii="Times New Roman" w:hAnsi="Times New Roman" w:cs="Times New Roman"/>
        </w:rPr>
      </w:pPr>
      <w:r w:rsidRPr="00ED34EF">
        <w:rPr>
          <w:rFonts w:ascii="Times New Roman" w:hAnsi="Times New Roman" w:cs="Times New Roman"/>
        </w:rPr>
        <w:t xml:space="preserve">39162100-6 Pomoce dydaktyczne </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 TERMIN WYKONANIA ZAMÓWIENIA</w:t>
      </w:r>
    </w:p>
    <w:p w14:paraId="4506BF6B" w14:textId="0EAF9C82" w:rsidR="00D1278A" w:rsidRPr="00026CAD" w:rsidRDefault="00D1278A" w:rsidP="00D1278A">
      <w:pPr>
        <w:pStyle w:val="Tekstpodstawowy"/>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do dnia </w:t>
      </w:r>
      <w:r w:rsidR="00340E8B">
        <w:rPr>
          <w:bCs/>
          <w:color w:val="000000" w:themeColor="text1"/>
          <w:sz w:val="22"/>
          <w:szCs w:val="22"/>
          <w:lang w:val="pl-PL"/>
        </w:rPr>
        <w:t>20</w:t>
      </w:r>
      <w:r w:rsidR="00B4264C">
        <w:rPr>
          <w:bCs/>
          <w:color w:val="000000" w:themeColor="text1"/>
          <w:sz w:val="22"/>
          <w:szCs w:val="22"/>
          <w:lang w:val="pl-PL"/>
        </w:rPr>
        <w:t>.0</w:t>
      </w:r>
      <w:r w:rsidR="00340E8B">
        <w:rPr>
          <w:bCs/>
          <w:color w:val="000000" w:themeColor="text1"/>
          <w:sz w:val="22"/>
          <w:szCs w:val="22"/>
          <w:lang w:val="pl-PL"/>
        </w:rPr>
        <w:t>9</w:t>
      </w:r>
      <w:r w:rsidR="00B4264C">
        <w:rPr>
          <w:bCs/>
          <w:color w:val="000000" w:themeColor="text1"/>
          <w:sz w:val="22"/>
          <w:szCs w:val="22"/>
          <w:lang w:val="pl-PL"/>
        </w:rPr>
        <w:t>.202</w:t>
      </w:r>
      <w:r w:rsidR="00340E8B">
        <w:rPr>
          <w:bCs/>
          <w:color w:val="000000" w:themeColor="text1"/>
          <w:sz w:val="22"/>
          <w:szCs w:val="22"/>
          <w:lang w:val="pl-PL"/>
        </w:rPr>
        <w:t>1</w:t>
      </w:r>
      <w:r w:rsidRPr="00026CAD">
        <w:rPr>
          <w:bCs/>
          <w:color w:val="000000" w:themeColor="text1"/>
          <w:sz w:val="22"/>
          <w:szCs w:val="22"/>
          <w:lang w:val="pl-PL"/>
        </w:rPr>
        <w:t xml:space="preserve"> r.</w:t>
      </w:r>
      <w:r w:rsidR="002D483B" w:rsidRPr="00026CAD">
        <w:rPr>
          <w:bCs/>
          <w:color w:val="000000" w:themeColor="text1"/>
          <w:sz w:val="22"/>
          <w:szCs w:val="22"/>
          <w:lang w:val="pl-PL"/>
        </w:rPr>
        <w:t xml:space="preserve"> </w:t>
      </w:r>
      <w:r w:rsidR="00340E8B">
        <w:rPr>
          <w:bCs/>
          <w:color w:val="000000" w:themeColor="text1"/>
          <w:sz w:val="22"/>
          <w:szCs w:val="22"/>
          <w:lang w:val="pl-PL"/>
        </w:rPr>
        <w:t>ze względu na planowane uruchomienie placówki przedszkolnej</w:t>
      </w:r>
    </w:p>
    <w:p w14:paraId="16802FB7" w14:textId="09CE75C8" w:rsidR="00F4427F" w:rsidRDefault="00F4427F" w:rsidP="00F4427F">
      <w:pPr>
        <w:pStyle w:val="Tekstpodstawowy"/>
        <w:jc w:val="both"/>
        <w:rPr>
          <w:b/>
          <w:sz w:val="22"/>
          <w:szCs w:val="22"/>
          <w:lang w:val="pl-PL"/>
        </w:rPr>
      </w:pPr>
    </w:p>
    <w:p w14:paraId="508934B3" w14:textId="77777777" w:rsidR="00E24F6B" w:rsidRPr="00026CAD" w:rsidRDefault="00E24F6B"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04121EC2" w:rsidR="00C717E2" w:rsidRPr="00026CAD" w:rsidRDefault="0073771C" w:rsidP="0080714F">
      <w:pPr>
        <w:pStyle w:val="Tekstpodstawowy"/>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8708B2">
        <w:rPr>
          <w:bCs/>
          <w:color w:val="000000" w:themeColor="text1"/>
          <w:sz w:val="22"/>
          <w:szCs w:val="22"/>
          <w:lang w:val="pl-PL"/>
        </w:rPr>
        <w:t>5</w:t>
      </w:r>
      <w:r w:rsidR="002D483B" w:rsidRPr="00026CAD">
        <w:rPr>
          <w:bCs/>
          <w:color w:val="000000" w:themeColor="text1"/>
          <w:sz w:val="22"/>
          <w:szCs w:val="22"/>
          <w:lang w:val="pl-PL"/>
        </w:rPr>
        <w:t xml:space="preserve"> do SWZ</w:t>
      </w:r>
    </w:p>
    <w:p w14:paraId="71B96B48" w14:textId="77777777" w:rsidR="00C717E2" w:rsidRPr="00026CAD" w:rsidRDefault="00C717E2"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379A6A6" w14:textId="77777777" w:rsidR="00997C69" w:rsidRPr="00997C69" w:rsidRDefault="00997C69"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w:t>
      </w:r>
      <w:r w:rsidR="00B0147D" w:rsidRPr="00C11232">
        <w:rPr>
          <w:rFonts w:ascii="Times New Roman" w:hAnsi="Times New Roman" w:cs="Times New Roman"/>
        </w:rPr>
        <w:lastRenderedPageBreak/>
        <w:t xml:space="preserve">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lastRenderedPageBreak/>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089DAE11"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568D4FB"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lastRenderedPageBreak/>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17D45448"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4B5CA7CA" w:rsidR="00D92A3D"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lastRenderedPageBreak/>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3406894E" w:rsidR="00A57499" w:rsidRDefault="00A57499" w:rsidP="00727D5E">
      <w:pPr>
        <w:spacing w:after="5" w:line="360" w:lineRule="auto"/>
        <w:ind w:right="285"/>
        <w:jc w:val="both"/>
        <w:rPr>
          <w:rFonts w:ascii="Times New Roman" w:hAnsi="Times New Roman" w:cs="Times New Roman"/>
        </w:rPr>
      </w:pPr>
    </w:p>
    <w:p w14:paraId="79CE4668" w14:textId="77777777" w:rsidR="004726B5" w:rsidRPr="00727D5E" w:rsidRDefault="004726B5"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11574AB9"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C24373A" w14:textId="40B57F32"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7DEBEF9D" w14:textId="59E62A82" w:rsidR="00CF0F84" w:rsidRPr="004F169A" w:rsidRDefault="00C96D72" w:rsidP="00A835EC">
      <w:pPr>
        <w:numPr>
          <w:ilvl w:val="0"/>
          <w:numId w:val="27"/>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 zamawiający nie stawia szczegółowego warunku w tym zakresie</w:t>
      </w:r>
    </w:p>
    <w:p w14:paraId="6DF9A91F" w14:textId="71105D86" w:rsidR="004F169A" w:rsidRPr="008708B2" w:rsidRDefault="008708B2" w:rsidP="008708B2">
      <w:pPr>
        <w:spacing w:after="0" w:line="360" w:lineRule="auto"/>
        <w:jc w:val="both"/>
        <w:rPr>
          <w:rFonts w:ascii="Times New Roman" w:eastAsiaTheme="majorEastAsia" w:hAnsi="Times New Roman" w:cs="Times New Roman"/>
          <w:b/>
        </w:rPr>
      </w:pPr>
      <w:r w:rsidRPr="00ED34EF">
        <w:rPr>
          <w:rFonts w:ascii="Times New Roman" w:eastAsiaTheme="majorEastAsia" w:hAnsi="Times New Roman" w:cs="Times New Roman"/>
        </w:rPr>
        <w:t xml:space="preserve">2. </w:t>
      </w:r>
      <w:r w:rsidR="00541AAF" w:rsidRPr="00ED34EF">
        <w:rPr>
          <w:rFonts w:ascii="Times New Roman" w:eastAsiaTheme="majorEastAsia" w:hAnsi="Times New Roman" w:cs="Times New Roman"/>
        </w:rPr>
        <w:t xml:space="preserve"> </w:t>
      </w:r>
      <w:r w:rsidRPr="00ED34EF">
        <w:rPr>
          <w:rFonts w:ascii="Times New Roman" w:hAnsi="Times New Roman" w:cs="Times New Roman"/>
        </w:rPr>
        <w:t xml:space="preserve">W zakresie warunków udziału w postępowaniu, o których mowa w ust. 1 pkt 1-4 Zamawiający nie formułuje szczegółowych warunków, jaki winni spełniać Wykonawcy. </w:t>
      </w:r>
      <w:r w:rsidRPr="00ED34EF">
        <w:rPr>
          <w:rFonts w:ascii="Times New Roman" w:hAnsi="Times New Roman" w:cs="Times New Roman"/>
        </w:rPr>
        <w:br/>
        <w:t>3. Ocena spełniania warunków udziału w postępowaniu w zakresie wszystkich części zamówienia, zostanie dokonana na podstawie oświadczeń i dokumentów złożonych przez Wykonawców na zasadzie SPEŁNIA/NIE SPEŁNIA</w:t>
      </w:r>
      <w:r w:rsidRPr="008708B2">
        <w:rPr>
          <w:rFonts w:ascii="Arial" w:hAnsi="Arial" w:cs="Arial"/>
          <w:sz w:val="25"/>
          <w:szCs w:val="25"/>
        </w:rPr>
        <w:t>.</w:t>
      </w:r>
    </w:p>
    <w:p w14:paraId="5AFAA1F2" w14:textId="40EF45FF" w:rsidR="008D5B04" w:rsidRDefault="008D5B04" w:rsidP="00CF0F84">
      <w:pPr>
        <w:pStyle w:val="Standard"/>
        <w:jc w:val="both"/>
        <w:rPr>
          <w:rFonts w:ascii="Arial" w:hAnsi="Arial" w:cs="Arial"/>
          <w:sz w:val="18"/>
          <w:szCs w:val="18"/>
        </w:rPr>
      </w:pPr>
    </w:p>
    <w:p w14:paraId="365D229A" w14:textId="2E05350E" w:rsidR="00650A28" w:rsidRDefault="00650A28" w:rsidP="00CF0F84">
      <w:pPr>
        <w:pStyle w:val="Standard"/>
        <w:jc w:val="both"/>
        <w:rPr>
          <w:rFonts w:ascii="Arial" w:hAnsi="Arial" w:cs="Arial"/>
          <w:sz w:val="18"/>
          <w:szCs w:val="18"/>
        </w:rPr>
      </w:pPr>
    </w:p>
    <w:p w14:paraId="18D11C07" w14:textId="292CE607" w:rsidR="00650A28" w:rsidRDefault="00650A28" w:rsidP="00CF0F84">
      <w:pPr>
        <w:pStyle w:val="Standard"/>
        <w:jc w:val="both"/>
        <w:rPr>
          <w:rFonts w:ascii="Arial" w:hAnsi="Arial" w:cs="Arial"/>
          <w:sz w:val="18"/>
          <w:szCs w:val="18"/>
        </w:rPr>
      </w:pPr>
    </w:p>
    <w:p w14:paraId="3A8157D6" w14:textId="77777777" w:rsidR="00650A28" w:rsidRPr="00F75A1D"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 xml:space="preserve">jeżeli zamawiający może stwierdzić, na podstawie wiarygodnych przesłanek, że wykonawca zawarł z innymi wykonawcami porozumienie mające na celu zakłócenie konkurencji, w szczególności jeżeli </w:t>
      </w:r>
      <w:r w:rsidRPr="00A835EC">
        <w:rPr>
          <w:rFonts w:ascii="Times New Roman" w:hAnsi="Times New Roman" w:cs="Times New Roman"/>
        </w:rPr>
        <w:lastRenderedPageBreak/>
        <w:t>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387B3F92" w:rsidR="00E45DB7" w:rsidRPr="00ED34EF"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ED34EF">
        <w:rPr>
          <w:sz w:val="22"/>
          <w:szCs w:val="22"/>
          <w:u w:val="single"/>
        </w:rPr>
        <w:t>następujących podmiotowych środków dowodowych:</w:t>
      </w:r>
    </w:p>
    <w:p w14:paraId="63BE00EE" w14:textId="72D2ED05" w:rsidR="00E45DB7" w:rsidRPr="00425EF9" w:rsidRDefault="00D21A88" w:rsidP="00A835EC">
      <w:pPr>
        <w:autoSpaceDE w:val="0"/>
        <w:spacing w:after="0" w:line="360" w:lineRule="auto"/>
        <w:jc w:val="both"/>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5878A9" w:rsidRPr="00ED34EF">
        <w:rPr>
          <w:rFonts w:ascii="Times New Roman" w:hAnsi="Times New Roman" w:cs="Times New Roman"/>
          <w:iCs/>
        </w:rPr>
        <w:t>3</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74B885F" w:rsidR="009918F0" w:rsidRPr="00CB0486"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504C0C5D" w14:textId="4D593A7E" w:rsidR="0093737A" w:rsidRDefault="007271C0" w:rsidP="00A835EC">
      <w:pPr>
        <w:pStyle w:val="Tekstpodstawowy"/>
        <w:tabs>
          <w:tab w:val="left" w:pos="426"/>
          <w:tab w:val="left" w:pos="567"/>
        </w:tabs>
        <w:spacing w:after="0" w:line="360" w:lineRule="auto"/>
        <w:ind w:right="20"/>
        <w:jc w:val="both"/>
        <w:rPr>
          <w:sz w:val="22"/>
          <w:szCs w:val="22"/>
        </w:rPr>
      </w:pPr>
      <w:r>
        <w:rPr>
          <w:sz w:val="22"/>
          <w:szCs w:val="22"/>
          <w:lang w:val="pl-PL"/>
        </w:rPr>
        <w:t xml:space="preserve">2)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w:t>
      </w:r>
      <w:r w:rsidR="0093737A" w:rsidRPr="00A835EC">
        <w:rPr>
          <w:rFonts w:ascii="Times New Roman" w:hAnsi="Times New Roman" w:cs="Times New Roman"/>
        </w:rPr>
        <w:lastRenderedPageBreak/>
        <w:t xml:space="preserve">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679F408" w14:textId="77777777" w:rsidR="003F37B9" w:rsidRPr="00494689" w:rsidRDefault="003F37B9" w:rsidP="00494689">
      <w:pPr>
        <w:spacing w:after="5" w:line="360" w:lineRule="auto"/>
        <w:ind w:right="286"/>
        <w:jc w:val="both"/>
        <w:rPr>
          <w:rFonts w:ascii="Times New Roman" w:hAnsi="Times New Roman" w:cs="Times New Roman"/>
        </w:rPr>
      </w:pP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7C2CAA6"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8657A4">
        <w:rPr>
          <w:rFonts w:ascii="Times New Roman" w:hAnsi="Times New Roman" w:cs="Times New Roman"/>
          <w:b/>
        </w:rPr>
        <w:t>1</w:t>
      </w:r>
      <w:r w:rsidR="00D04CB8">
        <w:rPr>
          <w:rFonts w:ascii="Times New Roman" w:hAnsi="Times New Roman" w:cs="Times New Roman"/>
          <w:b/>
        </w:rPr>
        <w:t>7</w:t>
      </w:r>
      <w:r w:rsidR="0042403F">
        <w:rPr>
          <w:rFonts w:ascii="Times New Roman" w:hAnsi="Times New Roman" w:cs="Times New Roman"/>
          <w:b/>
        </w:rPr>
        <w:t>.08</w:t>
      </w:r>
      <w:r w:rsidRPr="00A835EC">
        <w:rPr>
          <w:rFonts w:ascii="Times New Roman" w:hAnsi="Times New Roman" w:cs="Times New Roman"/>
          <w:b/>
        </w:rPr>
        <w:t>.2021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566FAB">
      <w:pPr>
        <w:pStyle w:val="Default"/>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5B535C0B"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712212">
        <w:rPr>
          <w:rFonts w:ascii="Times New Roman" w:hAnsi="Times New Roman" w:cs="Times New Roman"/>
          <w:b/>
        </w:rPr>
        <w:t>1</w:t>
      </w:r>
      <w:r w:rsidR="00D04CB8">
        <w:rPr>
          <w:rFonts w:ascii="Times New Roman" w:hAnsi="Times New Roman" w:cs="Times New Roman"/>
          <w:b/>
        </w:rPr>
        <w:t>5</w:t>
      </w:r>
      <w:r w:rsidR="0042403F">
        <w:rPr>
          <w:rFonts w:ascii="Times New Roman" w:hAnsi="Times New Roman" w:cs="Times New Roman"/>
          <w:b/>
        </w:rPr>
        <w:t>.09</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5D56160B"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657A4">
        <w:rPr>
          <w:rFonts w:ascii="Times New Roman" w:hAnsi="Times New Roman" w:cs="Times New Roman"/>
          <w:b/>
        </w:rPr>
        <w:t>1</w:t>
      </w:r>
      <w:r w:rsidR="00D04CB8">
        <w:rPr>
          <w:rFonts w:ascii="Times New Roman" w:hAnsi="Times New Roman" w:cs="Times New Roman"/>
          <w:b/>
        </w:rPr>
        <w:t>7</w:t>
      </w:r>
      <w:r w:rsidR="0042403F">
        <w:rPr>
          <w:rFonts w:ascii="Times New Roman" w:hAnsi="Times New Roman" w:cs="Times New Roman"/>
          <w:b/>
        </w:rPr>
        <w:t>.08</w:t>
      </w:r>
      <w:r w:rsidRPr="00A835EC">
        <w:rPr>
          <w:rFonts w:ascii="Times New Roman" w:hAnsi="Times New Roman" w:cs="Times New Roman"/>
          <w:b/>
        </w:rPr>
        <w:t xml:space="preserve">.2021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lastRenderedPageBreak/>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271B220F" w:rsidR="00EC6391" w:rsidRPr="0033059E" w:rsidRDefault="00712212"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Termin płatności faktury</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lastRenderedPageBreak/>
        <w:t>Końcowy wynik powyższego działania zostanie zaokrąglony do 2 miejsc po przecinku.</w:t>
      </w:r>
    </w:p>
    <w:p w14:paraId="13BE77DC" w14:textId="19264C42" w:rsidR="00440CAB" w:rsidRDefault="00440CAB" w:rsidP="00366EE0">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 xml:space="preserve">Punkty za kryterium </w:t>
      </w:r>
      <w:r w:rsidR="00E955B7">
        <w:rPr>
          <w:rFonts w:ascii="Times New Roman" w:hAnsi="Times New Roman" w:cs="Times New Roman"/>
          <w:bCs/>
          <w:color w:val="000000"/>
        </w:rPr>
        <w:t>Termin płatności faktury</w:t>
      </w:r>
      <w:r w:rsidRPr="00440CAB">
        <w:rPr>
          <w:rFonts w:ascii="Times New Roman" w:hAnsi="Times New Roman" w:cs="Times New Roman"/>
          <w:b/>
          <w:bCs/>
          <w:color w:val="000000"/>
        </w:rPr>
        <w:t xml:space="preserve"> (</w:t>
      </w:r>
      <w:r w:rsidR="00E955B7">
        <w:rPr>
          <w:rFonts w:ascii="Times New Roman" w:hAnsi="Times New Roman" w:cs="Times New Roman"/>
          <w:b/>
          <w:bCs/>
          <w:color w:val="000000"/>
        </w:rPr>
        <w:t>TF</w:t>
      </w:r>
      <w:r w:rsidRPr="00440CAB">
        <w:rPr>
          <w:rFonts w:ascii="Times New Roman" w:hAnsi="Times New Roman" w:cs="Times New Roman"/>
          <w:b/>
          <w:bCs/>
          <w:color w:val="000000"/>
        </w:rPr>
        <w:t>)</w:t>
      </w:r>
      <w:r w:rsidRPr="00440CAB">
        <w:rPr>
          <w:rFonts w:ascii="Times New Roman" w:hAnsi="Times New Roman" w:cs="Times New Roman"/>
          <w:bCs/>
          <w:color w:val="000000"/>
        </w:rPr>
        <w:t xml:space="preserve"> zostaną przyznane przez Zamawiającego, w skali punktowej od 0 do 40. 40  punktów odpowiada 40% wadze tego kryterium (1 pkt =1% wagi). </w:t>
      </w:r>
    </w:p>
    <w:p w14:paraId="0D08E5BA" w14:textId="77777777" w:rsidR="00440CAB" w:rsidRDefault="00440CAB" w:rsidP="00440CAB">
      <w:pPr>
        <w:autoSpaceDE w:val="0"/>
        <w:autoSpaceDN w:val="0"/>
        <w:adjustRightInd w:val="0"/>
        <w:spacing w:line="360" w:lineRule="auto"/>
        <w:jc w:val="both"/>
        <w:rPr>
          <w:rFonts w:ascii="Times New Roman" w:hAnsi="Times New Roman" w:cs="Times New Roman"/>
          <w:bCs/>
          <w:color w:val="000000"/>
        </w:rPr>
      </w:pPr>
      <w:r>
        <w:rPr>
          <w:rFonts w:ascii="Times New Roman" w:hAnsi="Times New Roman" w:cs="Times New Roman"/>
          <w:bCs/>
          <w:color w:val="000000"/>
        </w:rPr>
        <w:t>Wykonawca oferuje czas reakcji:</w:t>
      </w:r>
    </w:p>
    <w:p w14:paraId="2961C9E4" w14:textId="2CFC9479"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7</w:t>
      </w:r>
      <w:r w:rsidR="00712212">
        <w:rPr>
          <w:rFonts w:ascii="Times New Roman" w:hAnsi="Times New Roman" w:cs="Times New Roman"/>
          <w:b/>
          <w:color w:val="000000"/>
        </w:rPr>
        <w:t xml:space="preserve"> dni</w:t>
      </w:r>
      <w:r>
        <w:rPr>
          <w:rFonts w:ascii="Times New Roman" w:hAnsi="Times New Roman" w:cs="Times New Roman"/>
          <w:bCs/>
          <w:color w:val="000000"/>
        </w:rPr>
        <w:t>– 0 pkt.</w:t>
      </w:r>
    </w:p>
    <w:p w14:paraId="278B07F2" w14:textId="5737F7BF"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14</w:t>
      </w:r>
      <w:r w:rsidR="00712212">
        <w:rPr>
          <w:rFonts w:ascii="Times New Roman" w:hAnsi="Times New Roman" w:cs="Times New Roman"/>
          <w:b/>
          <w:color w:val="000000"/>
        </w:rPr>
        <w:t xml:space="preserve"> dni </w:t>
      </w:r>
      <w:r>
        <w:rPr>
          <w:rFonts w:ascii="Times New Roman" w:hAnsi="Times New Roman" w:cs="Times New Roman"/>
          <w:bCs/>
          <w:color w:val="000000"/>
        </w:rPr>
        <w:t xml:space="preserve">– </w:t>
      </w:r>
      <w:r w:rsidR="00E955B7">
        <w:rPr>
          <w:rFonts w:ascii="Times New Roman" w:hAnsi="Times New Roman" w:cs="Times New Roman"/>
          <w:bCs/>
          <w:color w:val="000000"/>
        </w:rPr>
        <w:t>1</w:t>
      </w:r>
      <w:r w:rsidR="00712212">
        <w:rPr>
          <w:rFonts w:ascii="Times New Roman" w:hAnsi="Times New Roman" w:cs="Times New Roman"/>
          <w:bCs/>
          <w:color w:val="000000"/>
        </w:rPr>
        <w:t>0</w:t>
      </w:r>
      <w:r>
        <w:rPr>
          <w:rFonts w:ascii="Times New Roman" w:hAnsi="Times New Roman" w:cs="Times New Roman"/>
          <w:bCs/>
          <w:color w:val="000000"/>
        </w:rPr>
        <w:t xml:space="preserve"> pkt</w:t>
      </w:r>
    </w:p>
    <w:p w14:paraId="1BBC99C5" w14:textId="347D64A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21</w:t>
      </w:r>
      <w:r w:rsidR="00712212">
        <w:rPr>
          <w:rFonts w:ascii="Times New Roman" w:hAnsi="Times New Roman" w:cs="Times New Roman"/>
          <w:b/>
          <w:color w:val="000000"/>
        </w:rPr>
        <w:t xml:space="preserve"> dni</w:t>
      </w:r>
      <w:r>
        <w:rPr>
          <w:rFonts w:ascii="Times New Roman" w:hAnsi="Times New Roman" w:cs="Times New Roman"/>
          <w:b/>
          <w:color w:val="000000"/>
        </w:rPr>
        <w:t xml:space="preserve"> -  </w:t>
      </w:r>
      <w:r w:rsidR="00E955B7">
        <w:rPr>
          <w:rFonts w:ascii="Times New Roman" w:hAnsi="Times New Roman" w:cs="Times New Roman"/>
          <w:bCs/>
          <w:color w:val="000000"/>
        </w:rPr>
        <w:t>20</w:t>
      </w:r>
      <w:r>
        <w:rPr>
          <w:rFonts w:ascii="Times New Roman" w:hAnsi="Times New Roman" w:cs="Times New Roman"/>
          <w:bCs/>
          <w:color w:val="000000"/>
        </w:rPr>
        <w:t xml:space="preserve"> pkt</w:t>
      </w:r>
    </w:p>
    <w:p w14:paraId="6D821B4A" w14:textId="7AD94498" w:rsidR="00E955B7" w:rsidRPr="00E955B7" w:rsidRDefault="00E955B7" w:rsidP="00440CAB">
      <w:pPr>
        <w:autoSpaceDE w:val="0"/>
        <w:autoSpaceDN w:val="0"/>
        <w:adjustRightInd w:val="0"/>
        <w:spacing w:after="0" w:line="360" w:lineRule="auto"/>
        <w:jc w:val="both"/>
        <w:rPr>
          <w:rFonts w:ascii="Times New Roman" w:hAnsi="Times New Roman" w:cs="Times New Roman"/>
          <w:b/>
          <w:color w:val="000000"/>
        </w:rPr>
      </w:pPr>
      <w:r w:rsidRPr="00E955B7">
        <w:rPr>
          <w:rFonts w:ascii="Times New Roman" w:hAnsi="Times New Roman" w:cs="Times New Roman"/>
          <w:b/>
          <w:color w:val="000000"/>
        </w:rPr>
        <w:t>- 30 dni – 40 pkt</w:t>
      </w:r>
    </w:p>
    <w:p w14:paraId="6B87CF46" w14:textId="771DE739"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E955B7">
        <w:rPr>
          <w:rFonts w:ascii="Times New Roman" w:hAnsi="Times New Roman" w:cs="Times New Roman"/>
          <w:bCs/>
          <w:color w:val="000000"/>
        </w:rPr>
        <w:t>TF</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roofErr w:type="spellStart"/>
      <w:r>
        <w:rPr>
          <w:rFonts w:ascii="Times New Roman" w:hAnsi="Times New Roman" w:cs="Times New Roman"/>
        </w:rPr>
        <w:t>Lebiedziewska</w:t>
      </w:r>
      <w:proofErr w:type="spellEnd"/>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2DEC9D1B"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005F36A9">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68AC0A4" w14:textId="35A0D5A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5E7F652" w:rsidR="00EC6391" w:rsidRDefault="00EC6391" w:rsidP="00777147">
      <w:pPr>
        <w:spacing w:line="360" w:lineRule="auto"/>
        <w:jc w:val="both"/>
        <w:rPr>
          <w:rFonts w:ascii="Times New Roman" w:hAnsi="Times New Roman" w:cs="Times New Roman"/>
        </w:rPr>
      </w:pPr>
    </w:p>
    <w:p w14:paraId="580D1EFC" w14:textId="77777777" w:rsidR="00D04CB8" w:rsidRPr="00777147" w:rsidRDefault="00D04CB8"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623B0A5A" w:rsidR="00EC6391"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Wyposażenie przedszkola w Gminie Brzozie</w:t>
      </w:r>
    </w:p>
    <w:p w14:paraId="195138CE" w14:textId="3D4369C9"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lastRenderedPageBreak/>
        <w:t>prawo do przenoszenia danych osobowych, o którym mowa w art. 20 RODO;</w:t>
      </w:r>
    </w:p>
    <w:p w14:paraId="6B8CF2F5" w14:textId="77777777" w:rsidR="00EC6391" w:rsidRPr="00832B5A"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4073B3F5"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 -</w:t>
      </w:r>
      <w:proofErr w:type="spellStart"/>
      <w:r w:rsidRPr="0042403F">
        <w:rPr>
          <w:rFonts w:ascii="Times New Roman" w:hAnsi="Times New Roman" w:cs="Times New Roman"/>
          <w:i/>
          <w:sz w:val="20"/>
          <w:szCs w:val="20"/>
        </w:rPr>
        <w:t>Lebiedziewska</w:t>
      </w:r>
      <w:proofErr w:type="spellEnd"/>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13"/>
      <w:footerReference w:type="even" r:id="rId14"/>
      <w:footerReference w:type="default" r:id="rId15"/>
      <w:headerReference w:type="first" r:id="rId16"/>
      <w:footerReference w:type="first" r:id="rId17"/>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3323" w14:textId="77777777" w:rsidR="00C55E1C" w:rsidRDefault="00C55E1C" w:rsidP="000C76AE">
      <w:pPr>
        <w:spacing w:after="0" w:line="240" w:lineRule="auto"/>
      </w:pPr>
      <w:r>
        <w:separator/>
      </w:r>
    </w:p>
  </w:endnote>
  <w:endnote w:type="continuationSeparator" w:id="0">
    <w:p w14:paraId="486D557A" w14:textId="77777777" w:rsidR="00C55E1C" w:rsidRDefault="00C55E1C"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C55E1C"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C55E1C"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18DA" w14:textId="77777777" w:rsidR="00C55E1C" w:rsidRDefault="00C55E1C" w:rsidP="000C76AE">
      <w:pPr>
        <w:spacing w:after="0" w:line="240" w:lineRule="auto"/>
      </w:pPr>
      <w:r>
        <w:separator/>
      </w:r>
    </w:p>
  </w:footnote>
  <w:footnote w:type="continuationSeparator" w:id="0">
    <w:p w14:paraId="5F913F31" w14:textId="77777777" w:rsidR="00C55E1C" w:rsidRDefault="00C55E1C"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CC27500"/>
    <w:multiLevelType w:val="hybridMultilevel"/>
    <w:tmpl w:val="15C2364E"/>
    <w:lvl w:ilvl="0" w:tplc="BE622AB0">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1E001349"/>
    <w:multiLevelType w:val="hybridMultilevel"/>
    <w:tmpl w:val="EB62D4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38D6159"/>
    <w:multiLevelType w:val="hybridMultilevel"/>
    <w:tmpl w:val="5A9A251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5A5CBF"/>
    <w:multiLevelType w:val="hybridMultilevel"/>
    <w:tmpl w:val="911E9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6"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49"/>
  </w:num>
  <w:num w:numId="2">
    <w:abstractNumId w:val="34"/>
  </w:num>
  <w:num w:numId="3">
    <w:abstractNumId w:val="15"/>
  </w:num>
  <w:num w:numId="4">
    <w:abstractNumId w:val="8"/>
  </w:num>
  <w:num w:numId="5">
    <w:abstractNumId w:val="22"/>
  </w:num>
  <w:num w:numId="6">
    <w:abstractNumId w:val="47"/>
  </w:num>
  <w:num w:numId="7">
    <w:abstractNumId w:val="31"/>
  </w:num>
  <w:num w:numId="8">
    <w:abstractNumId w:val="5"/>
  </w:num>
  <w:num w:numId="9">
    <w:abstractNumId w:val="18"/>
  </w:num>
  <w:num w:numId="10">
    <w:abstractNumId w:val="35"/>
  </w:num>
  <w:num w:numId="11">
    <w:abstractNumId w:val="27"/>
  </w:num>
  <w:num w:numId="12">
    <w:abstractNumId w:val="42"/>
  </w:num>
  <w:num w:numId="13">
    <w:abstractNumId w:val="7"/>
  </w:num>
  <w:num w:numId="14">
    <w:abstractNumId w:val="30"/>
  </w:num>
  <w:num w:numId="15">
    <w:abstractNumId w:val="25"/>
  </w:num>
  <w:num w:numId="16">
    <w:abstractNumId w:val="1"/>
  </w:num>
  <w:num w:numId="17">
    <w:abstractNumId w:val="37"/>
  </w:num>
  <w:num w:numId="18">
    <w:abstractNumId w:val="13"/>
  </w:num>
  <w:num w:numId="19">
    <w:abstractNumId w:val="6"/>
  </w:num>
  <w:num w:numId="20">
    <w:abstractNumId w:val="19"/>
  </w:num>
  <w:num w:numId="21">
    <w:abstractNumId w:val="3"/>
  </w:num>
  <w:num w:numId="22">
    <w:abstractNumId w:val="39"/>
  </w:num>
  <w:num w:numId="23">
    <w:abstractNumId w:val="20"/>
  </w:num>
  <w:num w:numId="24">
    <w:abstractNumId w:val="36"/>
  </w:num>
  <w:num w:numId="25">
    <w:abstractNumId w:val="16"/>
  </w:num>
  <w:num w:numId="26">
    <w:abstractNumId w:val="2"/>
  </w:num>
  <w:num w:numId="27">
    <w:abstractNumId w:val="26"/>
  </w:num>
  <w:num w:numId="28">
    <w:abstractNumId w:val="40"/>
  </w:num>
  <w:num w:numId="29">
    <w:abstractNumId w:val="14"/>
  </w:num>
  <w:num w:numId="30">
    <w:abstractNumId w:val="41"/>
  </w:num>
  <w:num w:numId="31">
    <w:abstractNumId w:val="44"/>
  </w:num>
  <w:num w:numId="32">
    <w:abstractNumId w:val="0"/>
  </w:num>
  <w:num w:numId="33">
    <w:abstractNumId w:val="12"/>
  </w:num>
  <w:num w:numId="34">
    <w:abstractNumId w:val="11"/>
  </w:num>
  <w:num w:numId="35">
    <w:abstractNumId w:val="43"/>
  </w:num>
  <w:num w:numId="36">
    <w:abstractNumId w:val="4"/>
  </w:num>
  <w:num w:numId="37">
    <w:abstractNumId w:val="17"/>
  </w:num>
  <w:num w:numId="38">
    <w:abstractNumId w:val="38"/>
  </w:num>
  <w:num w:numId="39">
    <w:abstractNumId w:val="33"/>
  </w:num>
  <w:num w:numId="40">
    <w:abstractNumId w:val="24"/>
  </w:num>
  <w:num w:numId="41">
    <w:abstractNumId w:val="32"/>
  </w:num>
  <w:num w:numId="42">
    <w:abstractNumId w:val="21"/>
  </w:num>
  <w:num w:numId="43">
    <w:abstractNumId w:val="45"/>
  </w:num>
  <w:num w:numId="44">
    <w:abstractNumId w:val="48"/>
  </w:num>
  <w:num w:numId="45">
    <w:abstractNumId w:val="46"/>
  </w:num>
  <w:num w:numId="46">
    <w:abstractNumId w:val="28"/>
  </w:num>
  <w:num w:numId="47">
    <w:abstractNumId w:val="10"/>
  </w:num>
  <w:num w:numId="48">
    <w:abstractNumId w:val="9"/>
  </w:num>
  <w:num w:numId="49">
    <w:abstractNumId w:val="29"/>
  </w:num>
  <w:num w:numId="5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0C20"/>
    <w:rsid w:val="000418FD"/>
    <w:rsid w:val="000471DA"/>
    <w:rsid w:val="00057E63"/>
    <w:rsid w:val="00063933"/>
    <w:rsid w:val="00066BE7"/>
    <w:rsid w:val="00083A30"/>
    <w:rsid w:val="00085B4D"/>
    <w:rsid w:val="00087460"/>
    <w:rsid w:val="0008751F"/>
    <w:rsid w:val="00093A11"/>
    <w:rsid w:val="000949D6"/>
    <w:rsid w:val="000A2DCD"/>
    <w:rsid w:val="000A6113"/>
    <w:rsid w:val="000A6B96"/>
    <w:rsid w:val="000B283C"/>
    <w:rsid w:val="000B73AB"/>
    <w:rsid w:val="000C1752"/>
    <w:rsid w:val="000C5FEB"/>
    <w:rsid w:val="000C76AE"/>
    <w:rsid w:val="000E4936"/>
    <w:rsid w:val="00103176"/>
    <w:rsid w:val="00104C79"/>
    <w:rsid w:val="00112481"/>
    <w:rsid w:val="001161F8"/>
    <w:rsid w:val="0012079C"/>
    <w:rsid w:val="00122547"/>
    <w:rsid w:val="00124076"/>
    <w:rsid w:val="0013760E"/>
    <w:rsid w:val="00145734"/>
    <w:rsid w:val="001457E7"/>
    <w:rsid w:val="00146E0B"/>
    <w:rsid w:val="00154080"/>
    <w:rsid w:val="00161CD6"/>
    <w:rsid w:val="00162DEA"/>
    <w:rsid w:val="001730CC"/>
    <w:rsid w:val="0017498D"/>
    <w:rsid w:val="00176E14"/>
    <w:rsid w:val="00186843"/>
    <w:rsid w:val="00186BD0"/>
    <w:rsid w:val="00187940"/>
    <w:rsid w:val="001A196C"/>
    <w:rsid w:val="001A255F"/>
    <w:rsid w:val="001A447D"/>
    <w:rsid w:val="001A59F1"/>
    <w:rsid w:val="001B0AE5"/>
    <w:rsid w:val="001D658A"/>
    <w:rsid w:val="001D6B4A"/>
    <w:rsid w:val="001E3DCB"/>
    <w:rsid w:val="001F1B4A"/>
    <w:rsid w:val="001F2A92"/>
    <w:rsid w:val="001F38CF"/>
    <w:rsid w:val="001F42AE"/>
    <w:rsid w:val="001F4B50"/>
    <w:rsid w:val="001F6C16"/>
    <w:rsid w:val="001F72EE"/>
    <w:rsid w:val="00202433"/>
    <w:rsid w:val="002227FF"/>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47E6"/>
    <w:rsid w:val="002C5D0D"/>
    <w:rsid w:val="002D3586"/>
    <w:rsid w:val="002D483B"/>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65CD1"/>
    <w:rsid w:val="00366EE0"/>
    <w:rsid w:val="00380FE4"/>
    <w:rsid w:val="00391090"/>
    <w:rsid w:val="0039296E"/>
    <w:rsid w:val="00396941"/>
    <w:rsid w:val="003A60FD"/>
    <w:rsid w:val="003A68B7"/>
    <w:rsid w:val="003B013A"/>
    <w:rsid w:val="003B01FE"/>
    <w:rsid w:val="003B6AF4"/>
    <w:rsid w:val="003D4FD8"/>
    <w:rsid w:val="003E130A"/>
    <w:rsid w:val="003F37B9"/>
    <w:rsid w:val="00401387"/>
    <w:rsid w:val="00404CDA"/>
    <w:rsid w:val="00404E65"/>
    <w:rsid w:val="00410260"/>
    <w:rsid w:val="004134A3"/>
    <w:rsid w:val="0041555F"/>
    <w:rsid w:val="00423E97"/>
    <w:rsid w:val="0042403F"/>
    <w:rsid w:val="00425EF9"/>
    <w:rsid w:val="00426C2C"/>
    <w:rsid w:val="004318AD"/>
    <w:rsid w:val="004331A4"/>
    <w:rsid w:val="00437838"/>
    <w:rsid w:val="00440CAB"/>
    <w:rsid w:val="00462F97"/>
    <w:rsid w:val="00463EEE"/>
    <w:rsid w:val="004653BD"/>
    <w:rsid w:val="004726B5"/>
    <w:rsid w:val="00477521"/>
    <w:rsid w:val="004829E3"/>
    <w:rsid w:val="004831A0"/>
    <w:rsid w:val="00494689"/>
    <w:rsid w:val="004A32CF"/>
    <w:rsid w:val="004A783C"/>
    <w:rsid w:val="004A7F1A"/>
    <w:rsid w:val="004B447F"/>
    <w:rsid w:val="004B6675"/>
    <w:rsid w:val="004C3973"/>
    <w:rsid w:val="004D22F0"/>
    <w:rsid w:val="004D2453"/>
    <w:rsid w:val="004D2B4F"/>
    <w:rsid w:val="004D6EFD"/>
    <w:rsid w:val="004E238E"/>
    <w:rsid w:val="004F09C8"/>
    <w:rsid w:val="004F169A"/>
    <w:rsid w:val="004F207E"/>
    <w:rsid w:val="004F60A0"/>
    <w:rsid w:val="00500380"/>
    <w:rsid w:val="00510CD7"/>
    <w:rsid w:val="005169DD"/>
    <w:rsid w:val="00520A42"/>
    <w:rsid w:val="0052264F"/>
    <w:rsid w:val="005307E0"/>
    <w:rsid w:val="00534888"/>
    <w:rsid w:val="00541AAF"/>
    <w:rsid w:val="005423D7"/>
    <w:rsid w:val="00544EBB"/>
    <w:rsid w:val="0055391E"/>
    <w:rsid w:val="0055635F"/>
    <w:rsid w:val="005608CD"/>
    <w:rsid w:val="005622EC"/>
    <w:rsid w:val="00565D4A"/>
    <w:rsid w:val="00566FAB"/>
    <w:rsid w:val="00570100"/>
    <w:rsid w:val="00570894"/>
    <w:rsid w:val="00574117"/>
    <w:rsid w:val="0057630D"/>
    <w:rsid w:val="005878A9"/>
    <w:rsid w:val="005913E0"/>
    <w:rsid w:val="0059328C"/>
    <w:rsid w:val="005A4415"/>
    <w:rsid w:val="005B273A"/>
    <w:rsid w:val="005B6C07"/>
    <w:rsid w:val="005C5071"/>
    <w:rsid w:val="005D04A9"/>
    <w:rsid w:val="005D3F30"/>
    <w:rsid w:val="005D4986"/>
    <w:rsid w:val="005E3BB4"/>
    <w:rsid w:val="005E5869"/>
    <w:rsid w:val="005E7486"/>
    <w:rsid w:val="005F36A9"/>
    <w:rsid w:val="00601F95"/>
    <w:rsid w:val="006450CD"/>
    <w:rsid w:val="00650A28"/>
    <w:rsid w:val="006534DB"/>
    <w:rsid w:val="00654594"/>
    <w:rsid w:val="00655517"/>
    <w:rsid w:val="00655C62"/>
    <w:rsid w:val="00663ED3"/>
    <w:rsid w:val="00664CF4"/>
    <w:rsid w:val="00672AF4"/>
    <w:rsid w:val="00693E7E"/>
    <w:rsid w:val="006A0A1B"/>
    <w:rsid w:val="006B4314"/>
    <w:rsid w:val="006C2DB7"/>
    <w:rsid w:val="006C54CB"/>
    <w:rsid w:val="006D01BA"/>
    <w:rsid w:val="006D5473"/>
    <w:rsid w:val="006E33A4"/>
    <w:rsid w:val="006F2F93"/>
    <w:rsid w:val="006F5DCE"/>
    <w:rsid w:val="007036E1"/>
    <w:rsid w:val="00712212"/>
    <w:rsid w:val="00712530"/>
    <w:rsid w:val="00725F86"/>
    <w:rsid w:val="007271C0"/>
    <w:rsid w:val="00727D5E"/>
    <w:rsid w:val="00733618"/>
    <w:rsid w:val="00736E86"/>
    <w:rsid w:val="00737155"/>
    <w:rsid w:val="0073771C"/>
    <w:rsid w:val="00740386"/>
    <w:rsid w:val="007522E6"/>
    <w:rsid w:val="00763A59"/>
    <w:rsid w:val="007666EA"/>
    <w:rsid w:val="00777147"/>
    <w:rsid w:val="007824C2"/>
    <w:rsid w:val="00783331"/>
    <w:rsid w:val="007837A0"/>
    <w:rsid w:val="007A28E9"/>
    <w:rsid w:val="007A3BE3"/>
    <w:rsid w:val="007B3C63"/>
    <w:rsid w:val="007C0900"/>
    <w:rsid w:val="007C2781"/>
    <w:rsid w:val="007C36D6"/>
    <w:rsid w:val="007D36B0"/>
    <w:rsid w:val="007D4DEF"/>
    <w:rsid w:val="007E7D01"/>
    <w:rsid w:val="007F469D"/>
    <w:rsid w:val="00800BEE"/>
    <w:rsid w:val="0080714F"/>
    <w:rsid w:val="00807AA2"/>
    <w:rsid w:val="00810AD3"/>
    <w:rsid w:val="00811B36"/>
    <w:rsid w:val="008143ED"/>
    <w:rsid w:val="008175D8"/>
    <w:rsid w:val="0082009B"/>
    <w:rsid w:val="008206AD"/>
    <w:rsid w:val="00821B3D"/>
    <w:rsid w:val="0082624A"/>
    <w:rsid w:val="00826F33"/>
    <w:rsid w:val="00827DBE"/>
    <w:rsid w:val="008347BF"/>
    <w:rsid w:val="00837E14"/>
    <w:rsid w:val="008533D7"/>
    <w:rsid w:val="008657A4"/>
    <w:rsid w:val="00867F7F"/>
    <w:rsid w:val="008708B2"/>
    <w:rsid w:val="00875885"/>
    <w:rsid w:val="00881048"/>
    <w:rsid w:val="00881A6E"/>
    <w:rsid w:val="00881ACC"/>
    <w:rsid w:val="008852D8"/>
    <w:rsid w:val="00885C75"/>
    <w:rsid w:val="00891533"/>
    <w:rsid w:val="00896856"/>
    <w:rsid w:val="008A2732"/>
    <w:rsid w:val="008A397A"/>
    <w:rsid w:val="008B4645"/>
    <w:rsid w:val="008B539A"/>
    <w:rsid w:val="008B6A8A"/>
    <w:rsid w:val="008B796E"/>
    <w:rsid w:val="008C492A"/>
    <w:rsid w:val="008C67F3"/>
    <w:rsid w:val="008D5B04"/>
    <w:rsid w:val="008E28BA"/>
    <w:rsid w:val="008E5DDA"/>
    <w:rsid w:val="008F1E8A"/>
    <w:rsid w:val="008F2149"/>
    <w:rsid w:val="008F4F29"/>
    <w:rsid w:val="00902E86"/>
    <w:rsid w:val="00916453"/>
    <w:rsid w:val="00936D0E"/>
    <w:rsid w:val="0093737A"/>
    <w:rsid w:val="00952D22"/>
    <w:rsid w:val="00955778"/>
    <w:rsid w:val="009570CD"/>
    <w:rsid w:val="00971AB4"/>
    <w:rsid w:val="009828D2"/>
    <w:rsid w:val="009918F0"/>
    <w:rsid w:val="00991EDE"/>
    <w:rsid w:val="00993D8B"/>
    <w:rsid w:val="009965EC"/>
    <w:rsid w:val="00997607"/>
    <w:rsid w:val="00997A11"/>
    <w:rsid w:val="00997C69"/>
    <w:rsid w:val="009A67E8"/>
    <w:rsid w:val="009A6BC4"/>
    <w:rsid w:val="009B00BD"/>
    <w:rsid w:val="009B0DE8"/>
    <w:rsid w:val="009C57B2"/>
    <w:rsid w:val="009D2EE9"/>
    <w:rsid w:val="009D548F"/>
    <w:rsid w:val="009D6CFD"/>
    <w:rsid w:val="009D7253"/>
    <w:rsid w:val="009E0C3B"/>
    <w:rsid w:val="009E40CF"/>
    <w:rsid w:val="009E4B12"/>
    <w:rsid w:val="009F053B"/>
    <w:rsid w:val="009F21CE"/>
    <w:rsid w:val="00A02D86"/>
    <w:rsid w:val="00A058FC"/>
    <w:rsid w:val="00A10744"/>
    <w:rsid w:val="00A1572E"/>
    <w:rsid w:val="00A2328A"/>
    <w:rsid w:val="00A265EB"/>
    <w:rsid w:val="00A2731E"/>
    <w:rsid w:val="00A36749"/>
    <w:rsid w:val="00A4239B"/>
    <w:rsid w:val="00A4695D"/>
    <w:rsid w:val="00A46F9D"/>
    <w:rsid w:val="00A50993"/>
    <w:rsid w:val="00A55D85"/>
    <w:rsid w:val="00A57499"/>
    <w:rsid w:val="00A6387F"/>
    <w:rsid w:val="00A648D4"/>
    <w:rsid w:val="00A7056A"/>
    <w:rsid w:val="00A70B88"/>
    <w:rsid w:val="00A75716"/>
    <w:rsid w:val="00A75E13"/>
    <w:rsid w:val="00A76D4B"/>
    <w:rsid w:val="00A835EC"/>
    <w:rsid w:val="00A86904"/>
    <w:rsid w:val="00AA356F"/>
    <w:rsid w:val="00AA6885"/>
    <w:rsid w:val="00AB3283"/>
    <w:rsid w:val="00AC19BF"/>
    <w:rsid w:val="00AC533A"/>
    <w:rsid w:val="00AD1D72"/>
    <w:rsid w:val="00AD5C11"/>
    <w:rsid w:val="00AE2546"/>
    <w:rsid w:val="00AE7834"/>
    <w:rsid w:val="00AF133E"/>
    <w:rsid w:val="00AF7264"/>
    <w:rsid w:val="00AF7CCD"/>
    <w:rsid w:val="00B0147D"/>
    <w:rsid w:val="00B01DDE"/>
    <w:rsid w:val="00B0556E"/>
    <w:rsid w:val="00B05BA5"/>
    <w:rsid w:val="00B3047B"/>
    <w:rsid w:val="00B30637"/>
    <w:rsid w:val="00B4264C"/>
    <w:rsid w:val="00B45A09"/>
    <w:rsid w:val="00B52F1C"/>
    <w:rsid w:val="00B549F7"/>
    <w:rsid w:val="00B5511C"/>
    <w:rsid w:val="00B56E09"/>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4290F"/>
    <w:rsid w:val="00C42BA2"/>
    <w:rsid w:val="00C47FF6"/>
    <w:rsid w:val="00C53658"/>
    <w:rsid w:val="00C55E1C"/>
    <w:rsid w:val="00C5758B"/>
    <w:rsid w:val="00C60C0A"/>
    <w:rsid w:val="00C64038"/>
    <w:rsid w:val="00C703D2"/>
    <w:rsid w:val="00C717E2"/>
    <w:rsid w:val="00C758A0"/>
    <w:rsid w:val="00C82833"/>
    <w:rsid w:val="00C87B2C"/>
    <w:rsid w:val="00C94ADC"/>
    <w:rsid w:val="00C96A12"/>
    <w:rsid w:val="00C96D72"/>
    <w:rsid w:val="00C979AA"/>
    <w:rsid w:val="00CA3480"/>
    <w:rsid w:val="00CB0486"/>
    <w:rsid w:val="00CB18D2"/>
    <w:rsid w:val="00CB2662"/>
    <w:rsid w:val="00CF0F84"/>
    <w:rsid w:val="00CF2B8B"/>
    <w:rsid w:val="00D007F8"/>
    <w:rsid w:val="00D01CD9"/>
    <w:rsid w:val="00D0330C"/>
    <w:rsid w:val="00D04CB8"/>
    <w:rsid w:val="00D06987"/>
    <w:rsid w:val="00D11E33"/>
    <w:rsid w:val="00D1278A"/>
    <w:rsid w:val="00D13F21"/>
    <w:rsid w:val="00D21A88"/>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7730"/>
    <w:rsid w:val="00D67A5B"/>
    <w:rsid w:val="00D76165"/>
    <w:rsid w:val="00D85F00"/>
    <w:rsid w:val="00D9206F"/>
    <w:rsid w:val="00D92A3D"/>
    <w:rsid w:val="00D94B0F"/>
    <w:rsid w:val="00D97E29"/>
    <w:rsid w:val="00DA0C5D"/>
    <w:rsid w:val="00DA30D3"/>
    <w:rsid w:val="00DB667A"/>
    <w:rsid w:val="00DB76D8"/>
    <w:rsid w:val="00DB77EC"/>
    <w:rsid w:val="00DC3540"/>
    <w:rsid w:val="00DC637A"/>
    <w:rsid w:val="00DC722A"/>
    <w:rsid w:val="00DC7536"/>
    <w:rsid w:val="00DD49EB"/>
    <w:rsid w:val="00DF5987"/>
    <w:rsid w:val="00E073DB"/>
    <w:rsid w:val="00E173A1"/>
    <w:rsid w:val="00E177A3"/>
    <w:rsid w:val="00E24F6B"/>
    <w:rsid w:val="00E34704"/>
    <w:rsid w:val="00E45DB7"/>
    <w:rsid w:val="00E538FA"/>
    <w:rsid w:val="00E5612A"/>
    <w:rsid w:val="00E60552"/>
    <w:rsid w:val="00E6103F"/>
    <w:rsid w:val="00E6180C"/>
    <w:rsid w:val="00E67BD5"/>
    <w:rsid w:val="00E73BFC"/>
    <w:rsid w:val="00E75A90"/>
    <w:rsid w:val="00E75B06"/>
    <w:rsid w:val="00E776FB"/>
    <w:rsid w:val="00E84F75"/>
    <w:rsid w:val="00E92B09"/>
    <w:rsid w:val="00E955B7"/>
    <w:rsid w:val="00EB58D6"/>
    <w:rsid w:val="00EB7BB6"/>
    <w:rsid w:val="00EB7D22"/>
    <w:rsid w:val="00EC6318"/>
    <w:rsid w:val="00EC6391"/>
    <w:rsid w:val="00ED0CB1"/>
    <w:rsid w:val="00ED34EF"/>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B0E4A"/>
    <w:rsid w:val="00FB4769"/>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Pages>
  <Words>8008</Words>
  <Characters>48051</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122</cp:revision>
  <cp:lastPrinted>2021-08-09T05:06:00Z</cp:lastPrinted>
  <dcterms:created xsi:type="dcterms:W3CDTF">2020-06-19T08:51:00Z</dcterms:created>
  <dcterms:modified xsi:type="dcterms:W3CDTF">2021-08-09T15:27:00Z</dcterms:modified>
</cp:coreProperties>
</file>